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40"/>
          <w:szCs w:val="40"/>
        </w:rPr>
        <w:t xml:space="preserve">Кумулятивная нормативная эрозия</w:t>
      </w:r>
    </w:p>
    <w:p>
      <w:pPr>
        <w:spacing w:after="400"/>
        <w:jc w:val="center"/>
      </w:pPr>
      <w:r>
        <w:rPr>
          <w:i/>
          <w:iCs/>
          <w:color w:val="666666"/>
          <w:sz w:val="24"/>
          <w:szCs w:val="24"/>
        </w:rPr>
        <w:t xml:space="preserve">Кейсы ретроактивной легализации чрезвычайных мер: рабочий материал</w:t>
      </w:r>
    </w:p>
    <w:p>
      <w:pPr>
        <w:pStyle w:val="Heading2"/>
        <w:spacing w:after="150" w:before="300"/>
      </w:pPr>
      <w:r>
        <w:t xml:space="preserve">1. Рабочее определение паттерна</w:t>
      </w:r>
    </w:p>
    <w:p>
      <w:pPr>
        <w:spacing w:after="160"/>
        <w:jc w:val="both"/>
      </w:pPr>
      <w:r>
        <w:t xml:space="preserve">Во всех рассмотренных случаях действие происходит в устойчивой трёхшаговой последовательности: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Кризис или чрезвычайная ситуация, используемая как обоснование срочности.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Действие, выходящее за пределы существующих на тот момент правовых полномочий действующего лица — либо прямое нарушение нормы, либо действие в правовом вакууме.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Последующая кодификация — закон или директива, принятые постфактум, которые (а) задним числом узаконивают уже совершённое действие и (б) закрепляют механизм как доступный для будущего применения без статуса чрезвычайного.</w:t>
      </w:r>
    </w:p>
    <w:p>
      <w:pPr>
        <w:spacing w:after="160"/>
        <w:jc w:val="both"/>
      </w:pPr>
      <w:r>
        <w:t xml:space="preserve">Ключевой диагностический признак паттерна — временной разрыв между шагом 2 и шагом 3 (от одного дня до нескольких лет) и наличие прямых свидетельств современников о том, что на момент действия правовой основы для него не существовало.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2. Кейс: Кипр, 2013 — bail-in вкладчиков и Директива BRRD (2014)</w:t>
      </w:r>
    </w:p>
    <w:p>
      <w:pPr>
        <w:spacing w:after="100"/>
        <w:jc w:val="both"/>
      </w:pPr>
      <w:r>
        <w:rPr>
          <w:b/>
          <w:bCs/>
        </w:rPr>
        <w:t xml:space="preserve">Действие (шаг 2): </w:t>
      </w:r>
      <w:r>
        <w:t xml:space="preserve">15–16 марта 2013 года Еврогруппа (Германия — министр финансов Вольфганг Шойбле; председатель Еврогруппы — Йерун Дейсселблюм) в обмен на кредит €10 млрд потребовала списания средств вкладчиков банков Кипра. Первоначальная версия плана включала списание даже застрахованных вкладов до €100 000, что напрямую противоречило действовавшей тогда Директиве ЕС о гарантировании вкладов (94/19/EC).</w:t>
      </w:r>
    </w:p>
    <w:p>
      <w:pPr>
        <w:spacing w:after="100"/>
        <w:jc w:val="both"/>
      </w:pPr>
      <w:r>
        <w:rPr>
          <w:b/>
          <w:bCs/>
        </w:rPr>
        <w:t xml:space="preserve">Признание нарушения: </w:t>
      </w:r>
      <w:r>
        <w:t xml:space="preserve">Президент ЕЦБ Марио Драги публично назвал первоначальный вариант «не умным решением» ("not smart"), после чего его пересмотрели через сутки путём видеоконференции министров финансов еврозоны.</w:t>
      </w:r>
    </w:p>
    <w:p>
      <w:pPr>
        <w:spacing w:after="100"/>
        <w:jc w:val="both"/>
      </w:pPr>
      <w:r>
        <w:rPr>
          <w:b/>
          <w:bCs/>
        </w:rPr>
        <w:t xml:space="preserve">Итоговая схема: </w:t>
      </w:r>
      <w:r>
        <w:t xml:space="preserve">Laiki Bank — полное списание незастрахованных вкладов (&gt;€100 000), банк ликвидирован. Bank of Cyprus — 47.5% суммы сверх €100 000 конвертировано в акции банка. Итого списано ≈€8 млрд, из них €3.7 млрд — вкладчики Laiki.</w:t>
      </w:r>
    </w:p>
    <w:p>
      <w:pPr>
        <w:spacing w:after="100"/>
        <w:jc w:val="both"/>
      </w:pPr>
      <w:r>
        <w:rPr>
          <w:b/>
          <w:bCs/>
        </w:rPr>
        <w:t xml:space="preserve">Кодификация (шаг 3): </w:t>
      </w:r>
      <w:r>
        <w:t xml:space="preserve">Директива ЕС 2014/59/EU (Bank Recovery and Resolution Directive, BRRD), принятая в 2014 году, институционализировала bail-in как стандартный инструмент банковской санации в ЕС с чёткой очерёдностью списания (акционеры → субординированный долг → старший долг → незастрахованные вклады), при этом впервые прямо защитив застрахованные вклады от любого сценария списания.</w:t>
      </w:r>
    </w:p>
    <w:p>
      <w:pPr>
        <w:spacing w:after="100"/>
        <w:jc w:val="both"/>
      </w:pPr>
      <w:r>
        <w:rPr>
          <w:b/>
          <w:bCs/>
        </w:rPr>
        <w:t xml:space="preserve">Побочная линия — кто выкупил обесценившиеся активы: </w:t>
      </w:r>
      <w:r>
        <w:t xml:space="preserve">Летом 2013 года акции Bank of Cyprus, в которые принудительно конвертировали вклады, обвалились до нескольких центов. Уилбур Росс (WL Ross &amp; Co., позже — министр торговли США) купил акции по $0.24 и к 2014 году возглавил консорциум, собравший $1.04 млрд на рекапитализацию банка, войдя в совет директоров. Виктор Вексельберг получил долю 9.3% через структуру Lamesa Holding S.A.</w:t>
      </w:r>
    </w:p>
    <w:p>
      <w:pPr>
        <w:spacing w:after="240"/>
      </w:pPr>
      <w:r>
        <w:rPr>
          <w:i/>
          <w:iCs/>
          <w:color w:val="666666"/>
          <w:sz w:val="20"/>
          <w:szCs w:val="20"/>
        </w:rPr>
        <w:t xml:space="preserve">Источник: Bruegel (blog analysis); Yale School of Management / EliScholar Journal of Financial Crises (кейс-стади с точными цифрами); AKEL / открытое заявление о нарушении Директивы 94/19/EC с цитатой М. Драги; Forbes (сделка У. Росса); Citizens for Responsibility and Ethics in Washington, CREW (конфликт интересов Росса); New York Times / Just Security (структура собственности после рекапитализации).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3. Кейс: США, март 1933 — банковские каникулы Рузвельта и Emergency Banking Act</w:t>
      </w:r>
    </w:p>
    <w:p>
      <w:pPr>
        <w:spacing w:after="100"/>
        <w:jc w:val="both"/>
      </w:pPr>
      <w:r>
        <w:rPr>
          <w:b/>
          <w:bCs/>
        </w:rPr>
        <w:t xml:space="preserve">Действие (шаг 2): </w:t>
      </w:r>
      <w:r>
        <w:t xml:space="preserve">6 марта 1933 года, через два дня после инаугурации, Франклин Рузвельт своим исполнительным указом объявил четырёхдневные общенациональные «банковские каникулы» — полную остановку операций всех банков, включая ФРС. Формальным правовым основанием указа послужил закон военного времени 1917 года «О торговле с врагом» (Trading with the Enemy Act), применённый к сугубо внутреннему мирному финансовому кризису — то есть акт был издан с использованием полномочий, не предназначенных для этой ситуации.</w:t>
      </w:r>
    </w:p>
    <w:p>
      <w:pPr>
        <w:spacing w:after="100"/>
        <w:jc w:val="both"/>
      </w:pPr>
      <w:r>
        <w:rPr>
          <w:b/>
          <w:bCs/>
        </w:rPr>
        <w:t xml:space="preserve">Вложенный локальный прецедент: </w:t>
      </w:r>
      <w:r>
        <w:t xml:space="preserve">Ещё раньше, 14 февраля 1933 года, губернатор штата Мичиган объявил банковские каникулы штата, формально превысив свои полномочия (закрыв не только банки штата, но и национальные банки). Легислатура Мичигана задним числом узаконила это решение 20 февраля 1933-го, а саму процедуру для губернатора закрепила в законе только 7 апреля — то есть уже после общенационального кризиса.</w:t>
      </w:r>
    </w:p>
    <w:p>
      <w:pPr>
        <w:spacing w:after="100"/>
        <w:jc w:val="both"/>
      </w:pPr>
      <w:r>
        <w:rPr>
          <w:b/>
          <w:bCs/>
        </w:rPr>
        <w:t xml:space="preserve">Кодификация (шаг 3): </w:t>
      </w:r>
      <w:r>
        <w:t xml:space="preserve">9 марта 1933 года, через три дня, Конгресс принял Emergency Banking Act — Title I закона прямо и по тексту «задним числом одобряет банковские каникулы» (retroactively approved the banking holiday). По свидетельству современников, законопроект был принят в течение нескольких часов после внесения, при этом единственный экземпляр текста в Палате представителей находился на руках у одного конгрессмена (Генри Стигалла) — большинство голосовавших не успели ознакомиться с содержанием.</w:t>
      </w:r>
    </w:p>
    <w:p>
      <w:pPr>
        <w:spacing w:after="240"/>
      </w:pPr>
      <w:r>
        <w:rPr>
          <w:i/>
          <w:iCs/>
          <w:color w:val="666666"/>
          <w:sz w:val="20"/>
          <w:szCs w:val="20"/>
        </w:rPr>
        <w:t xml:space="preserve">Источник: Federal Reserve History (официальный историко-архивный ресурс ФРС США); FDIC.gov, раздел «1930–1939»; LegalClarity — юридический разбор Title I EBA; New Bagehot / Yale — кейс о Мичигане с прямой ссылкой на архивные материалы Grand Rapids History (1933) и Kennedy (2014); Grokipedia — раздел о критике закона современными правоведами за нарушение принципа недопустимости делегирования законодательных полномочий (non-delegation doctrine).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4. Кейс: США, 1933–1934 — Указ №6102 и Закон о золотом резерве</w:t>
      </w:r>
    </w:p>
    <w:p>
      <w:pPr>
        <w:spacing w:after="100"/>
        <w:jc w:val="both"/>
      </w:pPr>
      <w:r>
        <w:rPr>
          <w:b/>
          <w:bCs/>
        </w:rPr>
        <w:t xml:space="preserve">Действие (шаг 2): </w:t>
      </w:r>
      <w:r>
        <w:t xml:space="preserve">5 апреля 1933 года Рузвельт подписал Исполнительный указ №6102, обязавший всех частных лиц сдать золотые монеты, слитки и сертификаты в банки по цене $20.67 за унцию под угрозой штрафа $10 000 или до 10 лет тюрьмы.</w:t>
      </w:r>
    </w:p>
    <w:p>
      <w:pPr>
        <w:spacing w:after="100"/>
        <w:jc w:val="both"/>
      </w:pPr>
      <w:r>
        <w:rPr>
          <w:b/>
          <w:bCs/>
        </w:rPr>
        <w:t xml:space="preserve">Кодификация (шаг 3): </w:t>
      </w:r>
      <w:r>
        <w:t xml:space="preserve">Закон о золотом резерве (Gold Reserve Act), принятый Конгрессом в январе 1934 года, закрепил новую официальную цену золота — $35 за унцию, то есть задним числом узаконил и результат уже проведённой конфискации, и последовавшую девальвацию доллара почти на 70%.</w:t>
      </w:r>
    </w:p>
    <w:p>
      <w:pPr>
        <w:spacing w:after="160"/>
        <w:jc w:val="both"/>
      </w:pPr>
      <w:r>
        <w:t xml:space="preserve">Формально это не «нарушение закона с последующим прощением», а более мягкий вариант паттерна: акт исполнительной власти в условиях чрезвычайного положения, закреплённый статутным правом года спустя. Отмечен здесь как структурно родственный кейс, а не как случай прямого правового нарушения.</w:t>
      </w:r>
    </w:p>
    <w:p>
      <w:pPr>
        <w:spacing w:after="240"/>
      </w:pPr>
      <w:r>
        <w:rPr>
          <w:i/>
          <w:iCs/>
          <w:color w:val="666666"/>
          <w:sz w:val="20"/>
          <w:szCs w:val="20"/>
        </w:rPr>
        <w:t xml:space="preserve">Источник: Уже проверено в предыдущей части исследования: цифры $20.67 / $35 / штраф $10 000–10 лет подтверждены независимо (см. предыдущую сводку по манифесту).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5. Кейс: США, 2001–2008 — программа АНБ и FISA Amendments Act</w:t>
      </w:r>
    </w:p>
    <w:p>
      <w:pPr>
        <w:spacing w:after="100"/>
        <w:jc w:val="both"/>
      </w:pPr>
      <w:r>
        <w:rPr>
          <w:b/>
          <w:bCs/>
        </w:rPr>
        <w:t xml:space="preserve">Действие (шаг 2): </w:t>
      </w:r>
      <w:r>
        <w:t xml:space="preserve">Вскоре после 11 сентября 2001 года президент Джордж Буш-младший секретным распоряжением санкционировал программу АНБ по прослушке международных коммуникаций американских граждан без судебного ордера — в прямое нарушение действовавшего с 1978 года закона FISA (Foreign Intelligence Surveillance Act), требовавшего ордер суда FISA для любой такой слежки.</w:t>
      </w:r>
    </w:p>
    <w:p>
      <w:pPr>
        <w:spacing w:after="100"/>
        <w:jc w:val="both"/>
      </w:pPr>
      <w:r>
        <w:rPr>
          <w:b/>
          <w:bCs/>
        </w:rPr>
        <w:t xml:space="preserve">Судебное признание незаконности: </w:t>
      </w:r>
      <w:r>
        <w:t xml:space="preserve">В 2006 году федеральный окружной суд (дело Hepting v. AT&amp;T) прямо установил, что участие телекоммуникационной компании AT&amp;T в программе было основано на действиях, которые «ни одна разумная организация не могла бы считать законными» ("AT&amp;T cannot seriously contend that a reasonable entity in its position could have believed that the alleged domestic dragnet was legal").</w:t>
      </w:r>
    </w:p>
    <w:p>
      <w:pPr>
        <w:spacing w:after="100"/>
        <w:jc w:val="both"/>
      </w:pPr>
      <w:r>
        <w:rPr>
          <w:b/>
          <w:bCs/>
        </w:rPr>
        <w:t xml:space="preserve">Кодификация (шаг 3): </w:t>
      </w:r>
      <w:r>
        <w:t xml:space="preserve">10 июля 2008 года президент Буш подписал FISA Amendments Act, принятый Конгрессом голосами 293–129 (Палата) и 69–28 (Сенат). Закон не просто расширил полномочия слежки на будущее, но и предоставил телекоммуникационным компаниям ретроактивный иммунитет от гражданских исков за уже совершённое ими нарушение закона в 2001–2007 годах — иски были прекращены судом именно на основании этого нового закона (решение судьи Вона Уокера, подтверждено 9-м апелляционным округом в 2011 году).</w:t>
      </w:r>
    </w:p>
    <w:p>
      <w:pPr>
        <w:spacing w:after="240"/>
      </w:pPr>
      <w:r>
        <w:rPr>
          <w:i/>
          <w:iCs/>
          <w:color w:val="666666"/>
          <w:sz w:val="20"/>
          <w:szCs w:val="20"/>
        </w:rPr>
        <w:t xml:space="preserve">Источник: Electronic Frontier Foundation, официальный FAQ по делу; ACLU, архив кампании против FISA Amendments Act (2008); George Washington Law Review — статья с прямым цитированием судебного решения по делу Hepting v. AT&amp;T; The New American — хроника прохождения закона через обе палаты Конгресса.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6. Кейс: фрагментация ответственности в надзоре за банками еврозоны (ЕЦБ, EBA, национальные регуляторы)</w:t>
      </w:r>
    </w:p>
    <w:p>
      <w:pPr>
        <w:spacing w:after="160"/>
        <w:jc w:val="both"/>
      </w:pPr>
      <w:r>
        <w:t xml:space="preserve">Отдельный от паттерна «кризис → внеправовое действие → кодификация» кейс, но методологически смежный: институциональная структура, которая систематически исключает персональную/институциональную ответственность за системный риск даже при его заблаговременной публичной идентификации.</w:t>
      </w:r>
    </w:p>
    <w:p>
      <w:pPr>
        <w:spacing w:after="100"/>
        <w:jc w:val="both"/>
      </w:pPr>
      <w:r>
        <w:rPr>
          <w:b/>
          <w:bCs/>
        </w:rPr>
        <w:t xml:space="preserve">Правовая база ответственности: </w:t>
      </w:r>
      <w:r>
        <w:t xml:space="preserve">Статья 340(3) Договора о функционировании ЕС прямо обязывает ЕЦБ возмещать ущерб от своих действий или бездействия. Механизм используется на практике (см. дело D'Agostino v ECB, 2023, Суд ЕС). Однако практика Суда ЕС требует «достаточно серьёзного нарушения» — то есть «явного и грубого пренебрежения пределами дискреционных полномочий». Этот порог сконструирован специально высоким, чтобы защитить независимость центробанка от пересмотра его макропруденциальных суждений через суд.</w:t>
      </w:r>
    </w:p>
    <w:p>
      <w:pPr>
        <w:spacing w:after="100"/>
        <w:jc w:val="both"/>
      </w:pPr>
      <w:r>
        <w:rPr>
          <w:b/>
          <w:bCs/>
        </w:rPr>
        <w:t xml:space="preserve">Правило нулевого риска для гособлигаций: </w:t>
      </w:r>
      <w:r>
        <w:t xml:space="preserve">Установлено не ЕЦБ, а законодателями ЕС через Capital Requirements Directive/CRR — то есть Европарламентом и Советом ЕС, в отклонение от собственных рекомендаций Базельского комитета. Член правления ЕЦБ Сабин Лаутеншлегер публично называла это известным изъяном системы риск-весов ещё в 2013 году; правило тем не менее сохраняется в обновлённой версии CRR3 (2025).</w:t>
      </w:r>
    </w:p>
    <w:p>
      <w:pPr>
        <w:spacing w:after="100"/>
        <w:jc w:val="both"/>
      </w:pPr>
      <w:r>
        <w:rPr>
          <w:b/>
          <w:bCs/>
        </w:rPr>
        <w:t xml:space="preserve">Стресс-тесты: </w:t>
      </w:r>
      <w:r>
        <w:t xml:space="preserve">Проводились Европейским банковским управлением (EBA, образовано в 2011 году) — отдельным от ЕЦБ органом. Кипрские банки «легко прошли» стресс-тест EBA в 2010 году, несмотря на уже нараставшую экспозицию на греческий госдолг.</w:t>
      </w:r>
    </w:p>
    <w:p>
      <w:pPr>
        <w:spacing w:after="100"/>
        <w:jc w:val="both"/>
      </w:pPr>
      <w:r>
        <w:rPr>
          <w:b/>
          <w:bCs/>
        </w:rPr>
        <w:t xml:space="preserve">Прямой надзор: </w:t>
      </w:r>
      <w:r>
        <w:t xml:space="preserve">На момент кипрского кризиса (март 2013) прямым надзорным органом за банками Кипра был национальный регулятор — Центробанк Кипра. ЕЦБ получил полномочия прямого надзора над крупными банками еврозоны только с ноября 2014 года, через Единый надзорный механизм (SSM, регламент принят в октябре 2013-го — в период председательства в Совете ЕС самой Республики Кипр).</w:t>
      </w:r>
    </w:p>
    <w:p>
      <w:pPr>
        <w:spacing w:after="100"/>
        <w:jc w:val="both"/>
      </w:pPr>
      <w:r>
        <w:rPr>
          <w:b/>
          <w:bCs/>
        </w:rPr>
        <w:t xml:space="preserve">Итог фрагментации: </w:t>
      </w:r>
      <w:r>
        <w:t xml:space="preserve">Три разных органа (законодатель ЕС → правило; EBA → тестирование; национальный регулятор → надзор) формально несут ответственность каждый только за свой узкий участок, из-за чего совокупный системный риск, накопленный на стыке их полномочий, не может быть предъявлен ни одному из них по отдельности как «достаточно серьёзное нарушение».</w:t>
      </w:r>
    </w:p>
    <w:p>
      <w:pPr>
        <w:spacing w:after="100"/>
        <w:jc w:val="both"/>
      </w:pPr>
      <w:r>
        <w:rPr>
          <w:b/>
          <w:bCs/>
        </w:rPr>
        <w:t xml:space="preserve">Теоретическая рамка ("democratic deficit"): </w:t>
      </w:r>
      <w:r>
        <w:t xml:space="preserve">G. Majone (1998, European Law Journal) — делегирование власти неизбираемым институтам легитимно постольку, поскольку независимость сопровождается реальной подотчётностью; для ЕЦБ этот баланс — предмет постоянной критики. A. Føllesdal, S. Hix (2006, JCMS) — прямой ответ Майоне с акцентом на отсутствие политической состязательности вокруг решений подобных институтов. H. Lokdam (2019, JCMS) — рассматривает конкретно кризисную политику ЕЦБ через призму легитимности.</w:t>
      </w:r>
    </w:p>
    <w:p>
      <w:pPr>
        <w:spacing w:after="240"/>
      </w:pPr>
      <w:r>
        <w:rPr>
          <w:i/>
          <w:iCs/>
          <w:color w:val="666666"/>
          <w:sz w:val="20"/>
          <w:szCs w:val="20"/>
        </w:rPr>
        <w:t xml:space="preserve">Источник: EUR-Lex, консолидированный текст ст. 340 TFEU; EUR-Lex, дело D'Agostino v ECB (T-90/23); CEPR/VoxEU — колонки о нулевом риск-весе (Korte &amp; Steffen, 2014; цитата С. Лаутеншлегер, 2013); GARP Risk Intelligence (2025, о сохранении правила в CRR3); Consilium.europa.eu — официальное описание SSM и его хронологии; Cyprus Economic Society, discussion paper №11 (2023) — о прохождении EBA-теста 2010 года; Majone (1998), European Law Journal, 4(1), 5–28; Føllesdal &amp; Hix (2006), Journal of Common Market Studies, 44(3), 533–562.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7. Смежный (нефинансовый по механизму, но структурно тождественный) кейс: Гай Юлий Цезарь, 49 г. до н.э.</w:t>
      </w:r>
    </w:p>
    <w:p>
      <w:pPr>
        <w:spacing w:after="100"/>
        <w:jc w:val="both"/>
      </w:pPr>
      <w:r>
        <w:rPr>
          <w:b/>
          <w:bCs/>
        </w:rPr>
        <w:t xml:space="preserve">Действие: </w:t>
      </w:r>
      <w:r>
        <w:t xml:space="preserve">В разгар кредитного кризиса гражданской войны Цезарь ввёл лимит на хранение наличных денег частными лицами — не более 60 000 сестерциев в серебре или золоте (Cassius Dio, Historia Romana, 41.38).</w:t>
      </w:r>
    </w:p>
    <w:p>
      <w:pPr>
        <w:spacing w:after="100"/>
        <w:jc w:val="both"/>
      </w:pPr>
      <w:r>
        <w:rPr>
          <w:b/>
          <w:bCs/>
        </w:rPr>
        <w:t xml:space="preserve">Приём легитимации: </w:t>
      </w:r>
      <w:r>
        <w:t xml:space="preserve">Дион прямо указывает: Цезарь представил эту меру не как собственное нововведение, а как «возобновление» ранее существовавшей нормы ("he stated that he was not introducing this as his own law, but was merely reviving a measure that had been enacted before") — риторический ход, структурно идентичный принципу «ретроактивной легализации», только применённый не через последующий формальный акт, а через немедленную апелляцию к вымышленной или полузабытой предшествующей норме.</w:t>
      </w:r>
    </w:p>
    <w:p>
      <w:pPr>
        <w:spacing w:after="160"/>
        <w:jc w:val="both"/>
      </w:pPr>
      <w:r>
        <w:t xml:space="preserve">Кейс полезен для методологической части — показывает, что приём легитимации задним числом («мы не нарушаем норму, мы её восстанавливаем/уточняем») не является продуктом современного права, а воспроизводится как устойчивая риторическая стратегия на протяжении двух тысячелетий.</w:t>
      </w:r>
    </w:p>
    <w:p>
      <w:pPr>
        <w:spacing w:after="240"/>
      </w:pPr>
      <w:r>
        <w:rPr>
          <w:i/>
          <w:iCs/>
          <w:color w:val="666666"/>
          <w:sz w:val="20"/>
          <w:szCs w:val="20"/>
        </w:rPr>
        <w:t xml:space="preserve">Источник: Cassius Dio, Historia Romana, кн. 41, гл. 38 (доступно в переводе Loeb Classical Library); независимое подтверждение — CADTM (Comité pour l'Abolition des Dettes Illégitimes).</w:t>
      </w:r>
    </w:p>
    <w:p>
      <w:pPr>
        <w:pBdr>
          <w:top w:val="single" w:color="999999" w:sz="6"/>
        </w:pBdr>
        <w:spacing w:after="200" w:before="200"/>
      </w:pPr>
    </w:p>
    <w:p>
      <w:pPr>
        <w:pStyle w:val="Heading2"/>
        <w:spacing w:after="150" w:before="300"/>
      </w:pPr>
      <w:r>
        <w:t xml:space="preserve">8. Сводная таблица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shd w:fill="2F2F2F" w:val="clear"/>
          </w:tcPr>
          <w:p>
            <w:r>
              <w:rPr>
                <w:b/>
                <w:bCs/>
                <w:color w:val="FFFFFF"/>
              </w:rPr>
              <w:t xml:space="preserve">Кейс</w:t>
            </w:r>
          </w:p>
        </w:tc>
        <w:tc>
          <w:tcPr>
            <w:tcW w:type="pct" w:w="25%"/>
            <w:shd w:fill="2F2F2F" w:val="clear"/>
          </w:tcPr>
          <w:p>
            <w:r>
              <w:rPr>
                <w:b/>
                <w:bCs/>
                <w:color w:val="FFFFFF"/>
              </w:rPr>
              <w:t xml:space="preserve">Шаг 2 (действие)</w:t>
            </w:r>
          </w:p>
        </w:tc>
        <w:tc>
          <w:tcPr>
            <w:tcW w:type="pct" w:w="25%"/>
            <w:shd w:fill="2F2F2F" w:val="clear"/>
          </w:tcPr>
          <w:p>
            <w:r>
              <w:rPr>
                <w:b/>
                <w:bCs/>
                <w:color w:val="FFFFFF"/>
              </w:rPr>
              <w:t xml:space="preserve">Разрыв</w:t>
            </w:r>
          </w:p>
        </w:tc>
        <w:tc>
          <w:tcPr>
            <w:tcW w:type="pct" w:w="25%"/>
            <w:shd w:fill="2F2F2F" w:val="clear"/>
          </w:tcPr>
          <w:p>
            <w:r>
              <w:rPr>
                <w:b/>
                <w:bCs/>
                <w:color w:val="FFFFFF"/>
              </w:rPr>
              <w:t xml:space="preserve">Шаг 3 (кодификация)</w:t>
            </w:r>
          </w:p>
        </w:tc>
      </w:tr>
      <w:tr>
        <w:tc>
          <w:tcPr>
            <w:tcW w:type="pct" w:w="25%"/>
          </w:tcPr>
          <w:p>
            <w:r>
              <w:rPr>
                <w:b/>
                <w:bCs/>
              </w:rPr>
              <w:t xml:space="preserve">Кипр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Bail-in вкладов, 15–16.03.2013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≈14 мес.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BRRD, 2014</w:t>
            </w:r>
          </w:p>
        </w:tc>
      </w:tr>
      <w:tr>
        <w:tc>
          <w:tcPr>
            <w:tcW w:type="pct" w:w="25%"/>
          </w:tcPr>
          <w:p>
            <w:r>
              <w:rPr>
                <w:b/>
                <w:bCs/>
              </w:rPr>
              <w:t xml:space="preserve">США / банки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Банковские каникулы, 06.03.1933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3 дня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Emergency Banking Act, 09.03.1933</w:t>
            </w:r>
          </w:p>
        </w:tc>
      </w:tr>
      <w:tr>
        <w:tc>
          <w:tcPr>
            <w:tcW w:type="pct" w:w="25%"/>
          </w:tcPr>
          <w:p>
            <w:r>
              <w:rPr>
                <w:b/>
                <w:bCs/>
              </w:rPr>
              <w:t xml:space="preserve">США / золото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Указ №6102, 05.04.1933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≈9 мес.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Закон о золотом резерве, 01.1934</w:t>
            </w:r>
          </w:p>
        </w:tc>
      </w:tr>
      <w:tr>
        <w:tc>
          <w:tcPr>
            <w:tcW w:type="pct" w:w="25%"/>
          </w:tcPr>
          <w:p>
            <w:r>
              <w:rPr>
                <w:b/>
                <w:bCs/>
              </w:rPr>
              <w:t xml:space="preserve">США / слежка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Программа АНБ, с 10.2001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≈7 лет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FISA Amendments Act, 07.2008</w:t>
            </w:r>
          </w:p>
        </w:tc>
      </w:tr>
      <w:tr>
        <w:tc>
          <w:tcPr>
            <w:tcW w:type="pct" w:w="25%"/>
          </w:tcPr>
          <w:p>
            <w:r>
              <w:rPr>
                <w:b/>
                <w:bCs/>
              </w:rPr>
              <w:t xml:space="preserve">Рим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Лимит на наличные, 49 г. до н.э.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мгновенно (риторически)</w:t>
            </w:r>
          </w:p>
        </w:tc>
        <w:tc>
          <w:tcPr>
            <w:tcW w:type="pct" w:w="25%"/>
          </w:tcPr>
          <w:p>
            <w:r>
              <w:rPr>
                <w:b w:val="false"/>
                <w:bCs w:val="false"/>
              </w:rPr>
              <w:t xml:space="preserve">Апелляция к «прежней норме»</w:t>
            </w:r>
          </w:p>
        </w:tc>
      </w:tr>
    </w:tbl>
    <w:p>
      <w:pPr>
        <w:spacing w:after="300"/>
      </w:pPr>
    </w:p>
    <w:p>
      <w:pPr>
        <w:pStyle w:val="Heading2"/>
        <w:spacing w:after="150" w:before="300"/>
      </w:pPr>
      <w:r>
        <w:t xml:space="preserve">9. Направления для дальнейшей проверки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Банковские каникулы по штатам США, январь–март 1933 (не только Мичиган) — вероятно, целая серия локальных прецедентов с тем же паттерном на уровне легислатур штатов.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Patriot Act (2001) и последующие судебные/законодательные пересмотры программ слежки (USA FREEDOM Act, 2015) — возможен обратный вариант паттерна (частичный откат, а не закрепление).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TARP и экстренные меры ФРС 2008 года (Section 13(3) Federal Reserve Act) — экстренное кредитование банков до формального законодательного оформления Dodd-Frank Act (2010).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Швейцарские банки и Вашингтонское соглашение 1946 года — является ли компенсация €250 млн задним числом легитимацией военных операций с золотом, или это отдельная категория (репарация, а не кодификация).</w:t>
      </w:r>
    </w:p>
    <w:p>
      <w:pPr>
        <w:spacing w:after="200"/>
      </w:pPr>
    </w:p>
    <w:p>
      <w:r>
        <w:rPr>
          <w:i/>
          <w:iCs/>
          <w:color w:val="666666"/>
          <w:sz w:val="18"/>
          <w:szCs w:val="18"/>
        </w:rPr>
        <w:t xml:space="preserve">Материал подготовлен как рабочая сводка для проекта; все даты и цифры сверены с указанными источниками по состоянию на август 2026 года.</w:t>
      </w:r>
    </w:p>
    <w:sectPr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2026-08-06T08:55:40.112Z</dcterms:created>
  <dcterms:modified xsi:type="dcterms:W3CDTF">2026-08-06T08:55:40.127Z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